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933B2" w:rsidRDefault="007933B2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7933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30.12.2019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1D6C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DC0E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128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Default="001504DA" w:rsidP="001504DA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775458" w:rsidRPr="001504DA" w:rsidRDefault="00775458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</w:p>
    <w:p w:rsidR="00E06767" w:rsidRPr="007539B8" w:rsidRDefault="001504DA" w:rsidP="000F0A03">
      <w:pPr>
        <w:spacing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 w:rsidR="008E41FA">
        <w:rPr>
          <w:rFonts w:ascii="Times New Roman" w:eastAsia="Lucida Sans Unicode" w:hAnsi="Times New Roman" w:cs="Tahoma"/>
          <w:sz w:val="28"/>
          <w:szCs w:val="28"/>
          <w:lang w:eastAsia="ru-RU"/>
        </w:rPr>
        <w:t>45</w:t>
      </w:r>
      <w:r w:rsidR="00FB3260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8E41FA">
        <w:rPr>
          <w:rFonts w:ascii="Times New Roman" w:eastAsia="Lucida Sans Unicode" w:hAnsi="Times New Roman" w:cs="Tahoma"/>
          <w:sz w:val="28"/>
          <w:szCs w:val="28"/>
          <w:lang w:eastAsia="ru-RU"/>
        </w:rPr>
        <w:t>12.12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.2019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</w:t>
      </w:r>
      <w:r w:rsidR="00780E57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780E57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780E57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E06767" w:rsidRDefault="00E06767" w:rsidP="00E0676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E06767" w:rsidRPr="00780E57" w:rsidRDefault="00780E57" w:rsidP="00780E57">
      <w:pPr>
        <w:spacing w:before="108" w:after="0" w:line="276" w:lineRule="auto"/>
        <w:ind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1.В </w:t>
      </w:r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E06767" w:rsidRPr="00780E57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следующие изменения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06767" w:rsidRPr="00780E57" w:rsidRDefault="00780E57" w:rsidP="00780E57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E06767" w:rsidRPr="00780E57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E06767" w:rsidRPr="00780E57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E06767" w:rsidRPr="00780E57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читать в новой редакции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E06767" w:rsidRDefault="00780E57" w:rsidP="00780E57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E06767" w:rsidRPr="00780E57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территории общего пользования» муниципальной программы </w:t>
      </w:r>
      <w:r w:rsidR="00E06767" w:rsidRPr="00780E57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780E5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читать в новой редакции.</w:t>
      </w:r>
    </w:p>
    <w:p w:rsidR="00780E57" w:rsidRPr="00780E57" w:rsidRDefault="00780E57" w:rsidP="00780E57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938" w:rsidRPr="0030597A" w:rsidRDefault="008F2F72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59671D" w:rsidRDefault="0059671D" w:rsidP="005967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sub_1010"/>
    </w:p>
    <w:p w:rsidR="0070651B" w:rsidRPr="007A6F5C" w:rsidRDefault="007A6F5C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85F2B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0651B" w:rsidRPr="007A6F5C" w:rsidRDefault="0070651B" w:rsidP="0059671D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77545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30.12.2019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775458">
        <w:rPr>
          <w:rFonts w:ascii="Times New Roman" w:eastAsia="Arial" w:hAnsi="Times New Roman" w:cs="Arial"/>
          <w:sz w:val="28"/>
          <w:szCs w:val="28"/>
          <w:lang w:eastAsia="ru-RU" w:bidi="ru-RU"/>
        </w:rPr>
        <w:t>128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</w:t>
            </w:r>
            <w:proofErr w:type="gram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вида</w:t>
            </w:r>
            <w:proofErr w:type="gram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</w:t>
            </w: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 xml:space="preserve">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077828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11674,58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lastRenderedPageBreak/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1E703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10447,33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</w:t>
            </w:r>
            <w:proofErr w:type="spell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</w:t>
            </w:r>
            <w:proofErr w:type="spellEnd"/>
            <w:r w:rsidR="00B7657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 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77828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1113,65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Причин такого положения много и, прежде всего, недостаточном </w:t>
      </w: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участии</w:t>
      </w:r>
      <w:proofErr w:type="gram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этой работе жителей муниципального образования, учащихся,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овершенствование </w:t>
      </w: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эстетического вида</w:t>
      </w:r>
      <w:proofErr w:type="gramEnd"/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4B124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07ADC" w:rsidRPr="00ED1E82" w:rsidTr="00721A46">
        <w:trPr>
          <w:trHeight w:val="543"/>
        </w:trPr>
        <w:tc>
          <w:tcPr>
            <w:tcW w:w="3734" w:type="dxa"/>
          </w:tcPr>
          <w:p w:rsidR="00F07ADC" w:rsidRPr="00F07ADC" w:rsidRDefault="00F07ADC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gridSpan w:val="2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3109" w:rsidRPr="00ED1E82" w:rsidTr="00721A46">
        <w:trPr>
          <w:trHeight w:val="543"/>
        </w:trPr>
        <w:tc>
          <w:tcPr>
            <w:tcW w:w="3734" w:type="dxa"/>
          </w:tcPr>
          <w:p w:rsidR="00E13109" w:rsidRPr="00F07ADC" w:rsidRDefault="00E13109" w:rsidP="00264A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благоустроенных контейнерных площадок</w:t>
            </w:r>
          </w:p>
        </w:tc>
        <w:tc>
          <w:tcPr>
            <w:tcW w:w="1322" w:type="dxa"/>
            <w:vAlign w:val="center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dxa"/>
            <w:gridSpan w:val="2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E4163" w:rsidRPr="007539B8" w:rsidRDefault="00D340A2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Мероприятия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2E4163" w:rsidRPr="007539B8" w:rsidRDefault="002E4163" w:rsidP="00780E57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4B124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480,23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4B124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3153,28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DB53F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413,42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DB53F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3210,23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proofErr w:type="gram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4B124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1113,65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4B124A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10529,18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gram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proofErr w:type="gram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185F2B" w:rsidRPr="007A6F5C" w:rsidRDefault="00185F2B" w:rsidP="00185F2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185F2B" w:rsidRPr="007A6F5C" w:rsidRDefault="00185F2B" w:rsidP="00185F2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77545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30.12.2019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№</w:t>
      </w:r>
      <w:r w:rsidR="0077545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128</w:t>
      </w: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A6F5C" w:rsidRPr="00D83FE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администрации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7F05A0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«Благоустройство 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</w:t>
      </w:r>
    </w:p>
    <w:p w:rsidR="00AB5B69" w:rsidRPr="00D83FE8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4" w:name="sub_101"/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 общего пользования (далее</w:t>
            </w:r>
            <w:r w:rsidR="00550BF6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2014-2021</w:t>
            </w:r>
            <w:r w:rsidR="007F05A0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BE6D9E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27418C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7F05A0" w:rsidRPr="0027418C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Основная цель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-Совершенствование системы комплексного благоустрой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муниципального образования;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внешнего благоустройства и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санитарного содержания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27418C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Общий объем финансирования 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под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программы из бюджета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Панинского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  сельского поселения составляет- </w:t>
            </w:r>
            <w:r w:rsidR="00C914DA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3153,28</w:t>
            </w:r>
            <w:r w:rsidR="00C46628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тыс.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рублей</w:t>
            </w:r>
            <w:proofErr w:type="gramStart"/>
            <w:r w:rsidR="00205D67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в</w:t>
            </w:r>
            <w:proofErr w:type="spellEnd"/>
            <w:proofErr w:type="gram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proofErr w:type="spellEnd"/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годам: 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2014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548,48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2015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426698" w:rsidRPr="0027418C">
              <w:rPr>
                <w:rFonts w:ascii="Times New Roman" w:hAnsi="Times New Roman"/>
                <w:kern w:val="1"/>
                <w:sz w:val="24"/>
                <w:szCs w:val="24"/>
              </w:rPr>
              <w:t>715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2016 год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E9755A" w:rsidRPr="0027418C">
              <w:rPr>
                <w:rFonts w:ascii="Times New Roman" w:hAnsi="Times New Roman"/>
                <w:kern w:val="1"/>
                <w:sz w:val="24"/>
                <w:szCs w:val="24"/>
              </w:rPr>
              <w:t>520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="003303B0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.,</w:t>
            </w:r>
          </w:p>
          <w:p w:rsidR="00426698" w:rsidRPr="0027418C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2017 год </w:t>
            </w:r>
            <w:r w:rsidR="00AB2C4A"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267,90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2018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24</w:t>
            </w:r>
            <w:r w:rsidR="00F87E2C" w:rsidRPr="0027418C">
              <w:rPr>
                <w:rFonts w:ascii="Times New Roman" w:hAnsi="Times New Roman"/>
                <w:kern w:val="1"/>
                <w:sz w:val="24"/>
                <w:szCs w:val="24"/>
              </w:rPr>
              <w:t>6,67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2019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C914DA">
              <w:rPr>
                <w:rFonts w:ascii="Times New Roman" w:hAnsi="Times New Roman"/>
                <w:kern w:val="1"/>
                <w:sz w:val="24"/>
                <w:szCs w:val="24"/>
              </w:rPr>
              <w:t>480,23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6475CE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2020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18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5,00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8A5CF2" w:rsidRPr="0027418C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2021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190,00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="00F20E3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GoBack"/>
      <w:bookmarkEnd w:id="4"/>
      <w:bookmarkEnd w:id="5"/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</w:t>
      </w:r>
      <w:proofErr w:type="gram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AD279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157ADE">
        <w:trPr>
          <w:trHeight w:val="161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B49F5" w:rsidRPr="002071F2" w:rsidTr="00126E1E">
        <w:trPr>
          <w:trHeight w:val="841"/>
        </w:trPr>
        <w:tc>
          <w:tcPr>
            <w:tcW w:w="69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530" w:type="dxa"/>
          </w:tcPr>
          <w:p w:rsidR="004B49F5" w:rsidRPr="005433C0" w:rsidRDefault="004D4024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</w:t>
            </w:r>
            <w:r w:rsidR="004B4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благоустроенной территории</w:t>
            </w:r>
          </w:p>
        </w:tc>
        <w:tc>
          <w:tcPr>
            <w:tcW w:w="1059" w:type="dxa"/>
            <w:vAlign w:val="center"/>
          </w:tcPr>
          <w:p w:rsidR="004B49F5" w:rsidRPr="005433C0" w:rsidRDefault="00D643E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4B49F5" w:rsidRPr="005433C0" w:rsidRDefault="00065A87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126E1E" w:rsidRPr="002071F2" w:rsidTr="00126E1E">
        <w:trPr>
          <w:trHeight w:val="841"/>
        </w:trPr>
        <w:tc>
          <w:tcPr>
            <w:tcW w:w="699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0" w:type="dxa"/>
          </w:tcPr>
          <w:p w:rsidR="00126E1E" w:rsidRDefault="00126E1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благоустроенных контейнерных площадок</w:t>
            </w:r>
          </w:p>
        </w:tc>
        <w:tc>
          <w:tcPr>
            <w:tcW w:w="1059" w:type="dxa"/>
            <w:vAlign w:val="center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5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3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3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</w:tbl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="00BF73A0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 w:rsidR="007F5C39">
              <w:rPr>
                <w:rFonts w:ascii="Times New Roman" w:eastAsia="Times New Roman" w:hAnsi="Times New Roman"/>
                <w:lang w:eastAsia="ru-RU"/>
              </w:rPr>
              <w:t>ор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тивных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455546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455546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570,13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элементов благоустройства (скамеек,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урн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, песочниц, газонов)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46,29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49,58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228,85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66,93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364,28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143A0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56,61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522AE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226,61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BF73A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="00BC73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,07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397,32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</w:t>
            </w:r>
            <w:r w:rsidRPr="007539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441B3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50,53</w:t>
            </w: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441B3A">
              <w:rPr>
                <w:rFonts w:ascii="Times New Roman" w:hAnsi="Times New Roman"/>
                <w:sz w:val="20"/>
                <w:szCs w:val="20"/>
              </w:rPr>
              <w:t>180,83</w:t>
            </w:r>
          </w:p>
        </w:tc>
      </w:tr>
      <w:tr w:rsidR="0071437A" w:rsidRPr="007539B8" w:rsidTr="007B5FC3">
        <w:trPr>
          <w:trHeight w:val="555"/>
        </w:trPr>
        <w:tc>
          <w:tcPr>
            <w:tcW w:w="737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лестничного спуска к реке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ихайловское</w:t>
            </w:r>
            <w:proofErr w:type="spellEnd"/>
          </w:p>
        </w:tc>
        <w:tc>
          <w:tcPr>
            <w:tcW w:w="1559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437A" w:rsidRPr="00D21111" w:rsidRDefault="00BC7334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53,30</w:t>
            </w:r>
          </w:p>
        </w:tc>
        <w:tc>
          <w:tcPr>
            <w:tcW w:w="851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Default="0071437A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37A" w:rsidRDefault="00BC7334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53,30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340B54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480,23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340B54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3153,28</w:t>
            </w:r>
          </w:p>
        </w:tc>
      </w:tr>
    </w:tbl>
    <w:p w:rsidR="004E0ED3" w:rsidRDefault="004E0ED3" w:rsidP="00780E5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2A17" w:rsidRDefault="007B2A17" w:rsidP="00780E5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2A17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32" w:rsidRDefault="00D86232" w:rsidP="002E4163">
      <w:pPr>
        <w:spacing w:after="0" w:line="240" w:lineRule="auto"/>
      </w:pPr>
      <w:r>
        <w:separator/>
      </w:r>
    </w:p>
  </w:endnote>
  <w:endnote w:type="continuationSeparator" w:id="0">
    <w:p w:rsidR="00D86232" w:rsidRDefault="00D86232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32" w:rsidRDefault="00D86232" w:rsidP="002E4163">
      <w:pPr>
        <w:spacing w:after="0" w:line="240" w:lineRule="auto"/>
      </w:pPr>
      <w:r>
        <w:separator/>
      </w:r>
    </w:p>
  </w:footnote>
  <w:footnote w:type="continuationSeparator" w:id="0">
    <w:p w:rsidR="00D86232" w:rsidRDefault="00D86232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30" w:rsidRDefault="00DC0E3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03B8"/>
    <w:rsid w:val="0001159E"/>
    <w:rsid w:val="00014F29"/>
    <w:rsid w:val="000173D7"/>
    <w:rsid w:val="000224CB"/>
    <w:rsid w:val="00022DD8"/>
    <w:rsid w:val="000261E4"/>
    <w:rsid w:val="00034C75"/>
    <w:rsid w:val="00040B8F"/>
    <w:rsid w:val="00043BCC"/>
    <w:rsid w:val="00065A87"/>
    <w:rsid w:val="00077828"/>
    <w:rsid w:val="00081F59"/>
    <w:rsid w:val="00085C2C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1B51"/>
    <w:rsid w:val="000C3208"/>
    <w:rsid w:val="000C502D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3"/>
    <w:rsid w:val="000F0A0A"/>
    <w:rsid w:val="000F4F95"/>
    <w:rsid w:val="000F6D36"/>
    <w:rsid w:val="00104040"/>
    <w:rsid w:val="00104B7D"/>
    <w:rsid w:val="00111B53"/>
    <w:rsid w:val="00117C41"/>
    <w:rsid w:val="00126939"/>
    <w:rsid w:val="00126E1E"/>
    <w:rsid w:val="00131BE0"/>
    <w:rsid w:val="00131FE5"/>
    <w:rsid w:val="001324C1"/>
    <w:rsid w:val="00132DF4"/>
    <w:rsid w:val="00136F98"/>
    <w:rsid w:val="001401E8"/>
    <w:rsid w:val="001414F5"/>
    <w:rsid w:val="00143A0C"/>
    <w:rsid w:val="00144773"/>
    <w:rsid w:val="00145C08"/>
    <w:rsid w:val="00150458"/>
    <w:rsid w:val="001504DA"/>
    <w:rsid w:val="0015070F"/>
    <w:rsid w:val="00152FD2"/>
    <w:rsid w:val="001557ED"/>
    <w:rsid w:val="00155E15"/>
    <w:rsid w:val="00157AA8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5F2B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6CEC"/>
    <w:rsid w:val="001D7B4D"/>
    <w:rsid w:val="001D7FE1"/>
    <w:rsid w:val="001E045E"/>
    <w:rsid w:val="001E703E"/>
    <w:rsid w:val="001F2466"/>
    <w:rsid w:val="001F35A5"/>
    <w:rsid w:val="001F5BED"/>
    <w:rsid w:val="00200178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52B2B"/>
    <w:rsid w:val="00264AAC"/>
    <w:rsid w:val="002672C3"/>
    <w:rsid w:val="0027418C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480A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0B54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77436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0EA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15A4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1B3A"/>
    <w:rsid w:val="00445F0D"/>
    <w:rsid w:val="0044619B"/>
    <w:rsid w:val="004467DD"/>
    <w:rsid w:val="0044697C"/>
    <w:rsid w:val="00451851"/>
    <w:rsid w:val="00455499"/>
    <w:rsid w:val="00455546"/>
    <w:rsid w:val="004576CC"/>
    <w:rsid w:val="0046103A"/>
    <w:rsid w:val="00463C50"/>
    <w:rsid w:val="00464930"/>
    <w:rsid w:val="00464E1D"/>
    <w:rsid w:val="00466439"/>
    <w:rsid w:val="0047014F"/>
    <w:rsid w:val="004712DC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44ED"/>
    <w:rsid w:val="004A5EDC"/>
    <w:rsid w:val="004A5F71"/>
    <w:rsid w:val="004B0280"/>
    <w:rsid w:val="004B124A"/>
    <w:rsid w:val="004B382B"/>
    <w:rsid w:val="004B49F5"/>
    <w:rsid w:val="004B719E"/>
    <w:rsid w:val="004C129A"/>
    <w:rsid w:val="004C39E2"/>
    <w:rsid w:val="004D04A3"/>
    <w:rsid w:val="004D4024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2AE1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671D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C48C0"/>
    <w:rsid w:val="005D04DE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3D73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0A05"/>
    <w:rsid w:val="006B2013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1FC9"/>
    <w:rsid w:val="0071279F"/>
    <w:rsid w:val="0071310A"/>
    <w:rsid w:val="0071437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458"/>
    <w:rsid w:val="00775EBA"/>
    <w:rsid w:val="007803F5"/>
    <w:rsid w:val="00780E57"/>
    <w:rsid w:val="0078366D"/>
    <w:rsid w:val="00784C0C"/>
    <w:rsid w:val="00785D21"/>
    <w:rsid w:val="007867CC"/>
    <w:rsid w:val="007876E6"/>
    <w:rsid w:val="007933B2"/>
    <w:rsid w:val="00797ED5"/>
    <w:rsid w:val="007A1A80"/>
    <w:rsid w:val="007A4C6B"/>
    <w:rsid w:val="007A4F8A"/>
    <w:rsid w:val="007A6F5C"/>
    <w:rsid w:val="007B01C0"/>
    <w:rsid w:val="007B1193"/>
    <w:rsid w:val="007B2A17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37E"/>
    <w:rsid w:val="007D775A"/>
    <w:rsid w:val="007E039E"/>
    <w:rsid w:val="007E05CD"/>
    <w:rsid w:val="007E1416"/>
    <w:rsid w:val="007E24BD"/>
    <w:rsid w:val="007E3491"/>
    <w:rsid w:val="007E34FC"/>
    <w:rsid w:val="007F05A0"/>
    <w:rsid w:val="007F08B5"/>
    <w:rsid w:val="007F5C39"/>
    <w:rsid w:val="007F65CA"/>
    <w:rsid w:val="00801956"/>
    <w:rsid w:val="00801CD7"/>
    <w:rsid w:val="0080315D"/>
    <w:rsid w:val="008035A7"/>
    <w:rsid w:val="00803D20"/>
    <w:rsid w:val="00804D11"/>
    <w:rsid w:val="0080639C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210A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4420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1FA"/>
    <w:rsid w:val="008E441C"/>
    <w:rsid w:val="008E4C20"/>
    <w:rsid w:val="008E4CBA"/>
    <w:rsid w:val="008F2F72"/>
    <w:rsid w:val="00900169"/>
    <w:rsid w:val="0090021B"/>
    <w:rsid w:val="009019BF"/>
    <w:rsid w:val="00904715"/>
    <w:rsid w:val="009049B3"/>
    <w:rsid w:val="00904EAA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313D"/>
    <w:rsid w:val="00976F9E"/>
    <w:rsid w:val="009802DE"/>
    <w:rsid w:val="00981088"/>
    <w:rsid w:val="009840D2"/>
    <w:rsid w:val="0098417F"/>
    <w:rsid w:val="009906A0"/>
    <w:rsid w:val="00990B7B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28DA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96C0B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2790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423E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4334B"/>
    <w:rsid w:val="00B53F93"/>
    <w:rsid w:val="00B550BF"/>
    <w:rsid w:val="00B62A69"/>
    <w:rsid w:val="00B67CE5"/>
    <w:rsid w:val="00B70DC9"/>
    <w:rsid w:val="00B73B14"/>
    <w:rsid w:val="00B741E0"/>
    <w:rsid w:val="00B76575"/>
    <w:rsid w:val="00B835E3"/>
    <w:rsid w:val="00B86B61"/>
    <w:rsid w:val="00B87E9F"/>
    <w:rsid w:val="00B90936"/>
    <w:rsid w:val="00BA4159"/>
    <w:rsid w:val="00BA5900"/>
    <w:rsid w:val="00BA6C91"/>
    <w:rsid w:val="00BB17F8"/>
    <w:rsid w:val="00BB443B"/>
    <w:rsid w:val="00BB557B"/>
    <w:rsid w:val="00BB5D47"/>
    <w:rsid w:val="00BB6FCB"/>
    <w:rsid w:val="00BB751E"/>
    <w:rsid w:val="00BC3080"/>
    <w:rsid w:val="00BC5613"/>
    <w:rsid w:val="00BC5C30"/>
    <w:rsid w:val="00BC6D69"/>
    <w:rsid w:val="00BC7334"/>
    <w:rsid w:val="00BD4276"/>
    <w:rsid w:val="00BE135F"/>
    <w:rsid w:val="00BE20BB"/>
    <w:rsid w:val="00BE2A62"/>
    <w:rsid w:val="00BE2BA5"/>
    <w:rsid w:val="00BE6D9E"/>
    <w:rsid w:val="00BF271D"/>
    <w:rsid w:val="00BF46CE"/>
    <w:rsid w:val="00BF73A0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2A65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4DA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4DF3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36D"/>
    <w:rsid w:val="00D340A2"/>
    <w:rsid w:val="00D364E8"/>
    <w:rsid w:val="00D40920"/>
    <w:rsid w:val="00D41978"/>
    <w:rsid w:val="00D4388F"/>
    <w:rsid w:val="00D44A1E"/>
    <w:rsid w:val="00D46AA6"/>
    <w:rsid w:val="00D473B5"/>
    <w:rsid w:val="00D50DA5"/>
    <w:rsid w:val="00D54FC9"/>
    <w:rsid w:val="00D55081"/>
    <w:rsid w:val="00D55C89"/>
    <w:rsid w:val="00D60BAD"/>
    <w:rsid w:val="00D62B0E"/>
    <w:rsid w:val="00D63619"/>
    <w:rsid w:val="00D643EE"/>
    <w:rsid w:val="00D65633"/>
    <w:rsid w:val="00D66F63"/>
    <w:rsid w:val="00D72C01"/>
    <w:rsid w:val="00D74A22"/>
    <w:rsid w:val="00D83FE8"/>
    <w:rsid w:val="00D8554D"/>
    <w:rsid w:val="00D86232"/>
    <w:rsid w:val="00D928FA"/>
    <w:rsid w:val="00DA50A4"/>
    <w:rsid w:val="00DB53F0"/>
    <w:rsid w:val="00DB5784"/>
    <w:rsid w:val="00DC0C75"/>
    <w:rsid w:val="00DC0E30"/>
    <w:rsid w:val="00DC181A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06767"/>
    <w:rsid w:val="00E13109"/>
    <w:rsid w:val="00E24BBB"/>
    <w:rsid w:val="00E318EF"/>
    <w:rsid w:val="00E31E98"/>
    <w:rsid w:val="00E320FA"/>
    <w:rsid w:val="00E327C0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ADC"/>
    <w:rsid w:val="00F07C1C"/>
    <w:rsid w:val="00F10466"/>
    <w:rsid w:val="00F136E8"/>
    <w:rsid w:val="00F20E3C"/>
    <w:rsid w:val="00F23828"/>
    <w:rsid w:val="00F23AF7"/>
    <w:rsid w:val="00F25B07"/>
    <w:rsid w:val="00F26909"/>
    <w:rsid w:val="00F31076"/>
    <w:rsid w:val="00F3339D"/>
    <w:rsid w:val="00F34FAA"/>
    <w:rsid w:val="00F351B4"/>
    <w:rsid w:val="00F3591A"/>
    <w:rsid w:val="00F36C22"/>
    <w:rsid w:val="00F4000F"/>
    <w:rsid w:val="00F40BBE"/>
    <w:rsid w:val="00F43E89"/>
    <w:rsid w:val="00F43F1C"/>
    <w:rsid w:val="00F52C02"/>
    <w:rsid w:val="00F539B4"/>
    <w:rsid w:val="00F55254"/>
    <w:rsid w:val="00F5567D"/>
    <w:rsid w:val="00F55FDD"/>
    <w:rsid w:val="00F609E6"/>
    <w:rsid w:val="00F6267A"/>
    <w:rsid w:val="00F64254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3260"/>
    <w:rsid w:val="00FB78A6"/>
    <w:rsid w:val="00FB79AA"/>
    <w:rsid w:val="00FC5084"/>
    <w:rsid w:val="00FC6C4D"/>
    <w:rsid w:val="00FD0886"/>
    <w:rsid w:val="00FD48C8"/>
    <w:rsid w:val="00FD4D9C"/>
    <w:rsid w:val="00FD687F"/>
    <w:rsid w:val="00FE049B"/>
    <w:rsid w:val="00FE16AB"/>
    <w:rsid w:val="00FE2034"/>
    <w:rsid w:val="00FE2046"/>
    <w:rsid w:val="00FE2A5A"/>
    <w:rsid w:val="00FE4888"/>
    <w:rsid w:val="00FF026C"/>
    <w:rsid w:val="00FF0AEC"/>
    <w:rsid w:val="00FF13BD"/>
    <w:rsid w:val="00FF13D7"/>
    <w:rsid w:val="00FF3FF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CBCF-C48A-47D9-8F5C-DF2CE208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12</cp:revision>
  <cp:lastPrinted>2019-12-31T04:58:00Z</cp:lastPrinted>
  <dcterms:created xsi:type="dcterms:W3CDTF">2019-12-19T07:20:00Z</dcterms:created>
  <dcterms:modified xsi:type="dcterms:W3CDTF">2019-12-31T04:58:00Z</dcterms:modified>
</cp:coreProperties>
</file>